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8C" w:rsidRDefault="00B6628C">
      <w:pPr>
        <w:rPr>
          <w:rFonts w:cstheme="minorHAnsi"/>
          <w:b/>
          <w:bCs/>
          <w:sz w:val="44"/>
          <w:szCs w:val="44"/>
          <w:u w:val="single"/>
        </w:rPr>
      </w:pPr>
      <w:r w:rsidRPr="00314465">
        <w:rPr>
          <w:rFonts w:cstheme="minorHAnsi"/>
          <w:b/>
          <w:bCs/>
          <w:sz w:val="44"/>
          <w:szCs w:val="44"/>
          <w:u w:val="single"/>
        </w:rPr>
        <w:t>Loan to</w:t>
      </w:r>
      <w:r w:rsidRPr="00314465">
        <w:rPr>
          <w:rStyle w:val="yiv2464407235"/>
          <w:rFonts w:cstheme="minorHAnsi"/>
          <w:b/>
          <w:bCs/>
          <w:sz w:val="44"/>
          <w:szCs w:val="44"/>
          <w:u w:val="single"/>
        </w:rPr>
        <w:t> </w:t>
      </w:r>
      <w:r w:rsidRPr="00314465">
        <w:rPr>
          <w:rFonts w:cstheme="minorHAnsi"/>
          <w:b/>
          <w:bCs/>
          <w:sz w:val="44"/>
          <w:szCs w:val="44"/>
          <w:u w:val="single"/>
        </w:rPr>
        <w:t>Private Companies by</w:t>
      </w:r>
      <w:r w:rsidRPr="00314465">
        <w:rPr>
          <w:rStyle w:val="yiv2464407235"/>
          <w:rFonts w:cstheme="minorHAnsi"/>
          <w:b/>
          <w:bCs/>
          <w:sz w:val="44"/>
          <w:szCs w:val="44"/>
          <w:u w:val="single"/>
        </w:rPr>
        <w:t> </w:t>
      </w:r>
      <w:r w:rsidRPr="00314465">
        <w:rPr>
          <w:rFonts w:cstheme="minorHAnsi"/>
          <w:b/>
          <w:bCs/>
          <w:sz w:val="44"/>
          <w:szCs w:val="44"/>
          <w:u w:val="single"/>
        </w:rPr>
        <w:t>Directors</w:t>
      </w:r>
      <w:r w:rsidR="00131028" w:rsidRPr="00314465">
        <w:rPr>
          <w:rFonts w:cstheme="minorHAnsi"/>
          <w:b/>
          <w:bCs/>
          <w:sz w:val="44"/>
          <w:szCs w:val="44"/>
          <w:u w:val="single"/>
        </w:rPr>
        <w:t>/ Directors’</w:t>
      </w:r>
      <w:r w:rsidRPr="00314465">
        <w:rPr>
          <w:rFonts w:cstheme="minorHAnsi"/>
          <w:b/>
          <w:bCs/>
          <w:sz w:val="44"/>
          <w:szCs w:val="44"/>
          <w:u w:val="single"/>
        </w:rPr>
        <w:t xml:space="preserve"> Relatives</w:t>
      </w:r>
    </w:p>
    <w:p w:rsidR="00B6628C" w:rsidRPr="00131028" w:rsidRDefault="00B6628C" w:rsidP="00B6628C">
      <w:pPr>
        <w:spacing w:after="0" w:line="240" w:lineRule="auto"/>
        <w:rPr>
          <w:rFonts w:eastAsia="Times New Roman" w:cstheme="minorHAnsi"/>
        </w:rPr>
      </w:pPr>
      <w:r w:rsidRPr="00131028">
        <w:rPr>
          <w:rFonts w:eastAsia="Times New Roman" w:cstheme="minorHAnsi"/>
          <w:b/>
          <w:bCs/>
          <w:u w:val="single"/>
        </w:rPr>
        <w:t>Companies (Acceptance of Deposits) Second Amendment Rules, 2015</w:t>
      </w:r>
    </w:p>
    <w:p w:rsidR="00B6628C" w:rsidRPr="00131028" w:rsidRDefault="00B6628C" w:rsidP="00B6628C">
      <w:pPr>
        <w:spacing w:after="0" w:line="240" w:lineRule="auto"/>
        <w:rPr>
          <w:rFonts w:eastAsia="Times New Roman" w:cstheme="minorHAnsi"/>
        </w:rPr>
      </w:pPr>
    </w:p>
    <w:p w:rsidR="00B6628C" w:rsidRPr="00131028" w:rsidRDefault="00B6628C" w:rsidP="00B6628C">
      <w:pPr>
        <w:spacing w:after="0" w:line="240" w:lineRule="auto"/>
        <w:rPr>
          <w:rFonts w:eastAsia="Times New Roman" w:cstheme="minorHAnsi"/>
        </w:rPr>
      </w:pPr>
    </w:p>
    <w:p w:rsidR="00B6628C" w:rsidRPr="00131028" w:rsidRDefault="000F05A9" w:rsidP="00855778">
      <w:pPr>
        <w:jc w:val="both"/>
        <w:rPr>
          <w:rFonts w:cstheme="minorHAnsi"/>
        </w:rPr>
      </w:pPr>
      <w:r>
        <w:rPr>
          <w:rFonts w:cstheme="minorHAnsi"/>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617855</wp:posOffset>
            </wp:positionV>
            <wp:extent cx="2127250" cy="2019300"/>
            <wp:effectExtent l="19050" t="0" r="6350" b="0"/>
            <wp:wrapThrough wrapText="bothSides">
              <wp:wrapPolygon edited="0">
                <wp:start x="-193" y="0"/>
                <wp:lineTo x="-193" y="21396"/>
                <wp:lineTo x="21664" y="21396"/>
                <wp:lineTo x="21664" y="0"/>
                <wp:lineTo x="-193" y="0"/>
              </wp:wrapPolygon>
            </wp:wrapThrough>
            <wp:docPr id="5" name="Picture 3" descr="C:\Users\DCS\Desktop\lo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S\Desktop\loan.jpg"/>
                    <pic:cNvPicPr>
                      <a:picLocks noChangeAspect="1" noChangeArrowheads="1"/>
                    </pic:cNvPicPr>
                  </pic:nvPicPr>
                  <pic:blipFill>
                    <a:blip r:embed="rId5"/>
                    <a:srcRect/>
                    <a:stretch>
                      <a:fillRect/>
                    </a:stretch>
                  </pic:blipFill>
                  <pic:spPr bwMode="auto">
                    <a:xfrm>
                      <a:off x="0" y="0"/>
                      <a:ext cx="2127250" cy="2019300"/>
                    </a:xfrm>
                    <a:prstGeom prst="rect">
                      <a:avLst/>
                    </a:prstGeom>
                    <a:noFill/>
                    <a:ln w="9525">
                      <a:noFill/>
                      <a:miter lim="800000"/>
                      <a:headEnd/>
                      <a:tailEnd/>
                    </a:ln>
                  </pic:spPr>
                </pic:pic>
              </a:graphicData>
            </a:graphic>
          </wp:anchor>
        </w:drawing>
      </w:r>
      <w:r w:rsidR="00B6628C" w:rsidRPr="00131028">
        <w:rPr>
          <w:rFonts w:cstheme="minorHAnsi"/>
        </w:rPr>
        <w:t>Amend</w:t>
      </w:r>
      <w:r w:rsidR="00131028">
        <w:rPr>
          <w:rFonts w:cstheme="minorHAnsi"/>
        </w:rPr>
        <w:t>ing the</w:t>
      </w:r>
      <w:r w:rsidR="00B6628C" w:rsidRPr="00131028">
        <w:rPr>
          <w:rFonts w:cstheme="minorHAnsi"/>
        </w:rPr>
        <w:t xml:space="preserve"> </w:t>
      </w:r>
      <w:r w:rsidR="006540CE" w:rsidRPr="00131028">
        <w:rPr>
          <w:rStyle w:val="il"/>
          <w:rFonts w:cstheme="minorHAnsi"/>
          <w:b/>
        </w:rPr>
        <w:t>Companies</w:t>
      </w:r>
      <w:r w:rsidR="00855778" w:rsidRPr="00131028">
        <w:rPr>
          <w:rStyle w:val="il"/>
          <w:rFonts w:cstheme="minorHAnsi"/>
          <w:b/>
        </w:rPr>
        <w:t xml:space="preserve"> </w:t>
      </w:r>
      <w:r w:rsidR="006540CE" w:rsidRPr="00131028">
        <w:rPr>
          <w:rFonts w:cstheme="minorHAnsi"/>
          <w:b/>
        </w:rPr>
        <w:t>(Acceptance of Deposits) Rules, 2014</w:t>
      </w:r>
      <w:r w:rsidR="006540CE" w:rsidRPr="00131028">
        <w:rPr>
          <w:rFonts w:cstheme="minorHAnsi"/>
        </w:rPr>
        <w:t xml:space="preserve"> by </w:t>
      </w:r>
      <w:r w:rsidR="006540CE" w:rsidRPr="00131028">
        <w:rPr>
          <w:rStyle w:val="il"/>
          <w:rFonts w:cstheme="minorHAnsi"/>
          <w:b/>
        </w:rPr>
        <w:t>Companies</w:t>
      </w:r>
      <w:r w:rsidR="006540CE" w:rsidRPr="00131028">
        <w:rPr>
          <w:rFonts w:cstheme="minorHAnsi"/>
          <w:b/>
        </w:rPr>
        <w:t xml:space="preserve"> (Acceptance of Deposit</w:t>
      </w:r>
      <w:r w:rsidR="00855778" w:rsidRPr="00131028">
        <w:rPr>
          <w:rFonts w:cstheme="minorHAnsi"/>
          <w:b/>
        </w:rPr>
        <w:t>s) Second Amendment Rules, 2015</w:t>
      </w:r>
      <w:r w:rsidR="00855778" w:rsidRPr="00131028">
        <w:rPr>
          <w:rFonts w:cstheme="minorHAnsi"/>
        </w:rPr>
        <w:t xml:space="preserve"> </w:t>
      </w:r>
      <w:r w:rsidR="006540CE" w:rsidRPr="00131028">
        <w:rPr>
          <w:rFonts w:cstheme="minorHAnsi"/>
        </w:rPr>
        <w:t xml:space="preserve">was </w:t>
      </w:r>
      <w:r w:rsidR="00855778" w:rsidRPr="00131028">
        <w:rPr>
          <w:rFonts w:cstheme="minorHAnsi"/>
        </w:rPr>
        <w:t>breathe</w:t>
      </w:r>
      <w:r w:rsidR="00B6628C" w:rsidRPr="00131028">
        <w:rPr>
          <w:rFonts w:cstheme="minorHAnsi"/>
        </w:rPr>
        <w:t xml:space="preserve"> taking</w:t>
      </w:r>
      <w:r w:rsidR="001A542A" w:rsidRPr="00131028">
        <w:rPr>
          <w:rFonts w:cstheme="minorHAnsi"/>
        </w:rPr>
        <w:t xml:space="preserve"> amendment </w:t>
      </w:r>
      <w:r w:rsidR="00B6628C" w:rsidRPr="00131028">
        <w:rPr>
          <w:rFonts w:cstheme="minorHAnsi"/>
        </w:rPr>
        <w:t>for Private limited Companies who mostly depend on Loan from Directors, Share Holders or their Relatives as a mean</w:t>
      </w:r>
      <w:r w:rsidR="001A542A" w:rsidRPr="00131028">
        <w:rPr>
          <w:rFonts w:cstheme="minorHAnsi"/>
        </w:rPr>
        <w:t>s</w:t>
      </w:r>
      <w:r w:rsidR="00B6628C" w:rsidRPr="00131028">
        <w:rPr>
          <w:rFonts w:cstheme="minorHAnsi"/>
        </w:rPr>
        <w:t xml:space="preserve"> of</w:t>
      </w:r>
      <w:r w:rsidR="001A542A" w:rsidRPr="00131028">
        <w:rPr>
          <w:rFonts w:cstheme="minorHAnsi"/>
        </w:rPr>
        <w:t xml:space="preserve"> finance</w:t>
      </w:r>
      <w:r w:rsidR="00B6628C" w:rsidRPr="00131028">
        <w:rPr>
          <w:rFonts w:cstheme="minorHAnsi"/>
        </w:rPr>
        <w:t>.</w:t>
      </w:r>
      <w:r w:rsidR="00855778" w:rsidRPr="00131028">
        <w:rPr>
          <w:rFonts w:cstheme="minorHAnsi"/>
        </w:rPr>
        <w:t xml:space="preserve"> </w:t>
      </w:r>
      <w:r w:rsidR="00131028">
        <w:rPr>
          <w:rFonts w:cstheme="minorHAnsi"/>
        </w:rPr>
        <w:t>This Loan from Director</w:t>
      </w:r>
      <w:r w:rsidR="00B6628C" w:rsidRPr="00131028">
        <w:rPr>
          <w:rFonts w:cstheme="minorHAnsi"/>
        </w:rPr>
        <w:t>s</w:t>
      </w:r>
      <w:r w:rsidR="00131028">
        <w:rPr>
          <w:rFonts w:cstheme="minorHAnsi"/>
        </w:rPr>
        <w:t>’</w:t>
      </w:r>
      <w:r w:rsidR="00B6628C" w:rsidRPr="00131028">
        <w:rPr>
          <w:rFonts w:cstheme="minorHAnsi"/>
        </w:rPr>
        <w:t xml:space="preserve"> Relatives </w:t>
      </w:r>
      <w:r w:rsidR="00855778" w:rsidRPr="00131028">
        <w:rPr>
          <w:rFonts w:cstheme="minorHAnsi"/>
        </w:rPr>
        <w:t>was</w:t>
      </w:r>
      <w:r w:rsidR="00B6628C" w:rsidRPr="00131028">
        <w:rPr>
          <w:rFonts w:cstheme="minorHAnsi"/>
        </w:rPr>
        <w:t xml:space="preserve"> brought into</w:t>
      </w:r>
      <w:r w:rsidR="00131028">
        <w:rPr>
          <w:rFonts w:cstheme="minorHAnsi"/>
        </w:rPr>
        <w:t xml:space="preserve"> the ambit of Deposit with the i</w:t>
      </w:r>
      <w:r w:rsidR="00B6628C" w:rsidRPr="00131028">
        <w:rPr>
          <w:rFonts w:cstheme="minorHAnsi"/>
        </w:rPr>
        <w:t>ntroduction of Companies Act 2013.</w:t>
      </w:r>
      <w:r w:rsidR="00855778" w:rsidRPr="00131028">
        <w:rPr>
          <w:rFonts w:cstheme="minorHAnsi"/>
        </w:rPr>
        <w:t xml:space="preserve"> </w:t>
      </w:r>
      <w:r w:rsidR="008C54AA" w:rsidRPr="00131028">
        <w:rPr>
          <w:rFonts w:cstheme="minorHAnsi"/>
        </w:rPr>
        <w:t>Although</w:t>
      </w:r>
      <w:r w:rsidR="00855778" w:rsidRPr="00131028">
        <w:rPr>
          <w:rFonts w:cstheme="minorHAnsi"/>
        </w:rPr>
        <w:t xml:space="preserve"> </w:t>
      </w:r>
      <w:r w:rsidR="008C54AA" w:rsidRPr="00131028">
        <w:rPr>
          <w:rFonts w:cstheme="minorHAnsi"/>
        </w:rPr>
        <w:t>much delayed</w:t>
      </w:r>
      <w:r w:rsidR="00855778" w:rsidRPr="00131028">
        <w:rPr>
          <w:rFonts w:cstheme="minorHAnsi"/>
        </w:rPr>
        <w:t>,</w:t>
      </w:r>
      <w:r w:rsidR="001A542A" w:rsidRPr="00131028">
        <w:rPr>
          <w:rFonts w:cstheme="minorHAnsi"/>
        </w:rPr>
        <w:t xml:space="preserve"> </w:t>
      </w:r>
      <w:r w:rsidR="008C54AA" w:rsidRPr="00131028">
        <w:rPr>
          <w:rFonts w:eastAsia="Times New Roman" w:cstheme="minorHAnsi"/>
        </w:rPr>
        <w:t>t</w:t>
      </w:r>
      <w:r w:rsidR="001A542A" w:rsidRPr="00131028">
        <w:rPr>
          <w:rFonts w:eastAsia="Times New Roman" w:cstheme="minorHAnsi"/>
        </w:rPr>
        <w:t>he Ministry of Corporate Affairs</w:t>
      </w:r>
      <w:r w:rsidR="00B6628C" w:rsidRPr="00131028">
        <w:rPr>
          <w:rFonts w:eastAsia="Times New Roman" w:cstheme="minorHAnsi"/>
        </w:rPr>
        <w:t xml:space="preserve"> Vide</w:t>
      </w:r>
      <w:r w:rsidR="00855778" w:rsidRPr="00131028">
        <w:rPr>
          <w:rFonts w:eastAsia="Times New Roman" w:cstheme="minorHAnsi"/>
        </w:rPr>
        <w:t xml:space="preserve"> Notification Dated 15.09.2015 </w:t>
      </w:r>
      <w:r w:rsidR="008C54AA" w:rsidRPr="00131028">
        <w:rPr>
          <w:rFonts w:eastAsia="Times New Roman" w:cstheme="minorHAnsi"/>
        </w:rPr>
        <w:t>notified</w:t>
      </w:r>
      <w:r w:rsidR="00B6628C" w:rsidRPr="00131028">
        <w:rPr>
          <w:rFonts w:eastAsia="Times New Roman" w:cstheme="minorHAnsi"/>
        </w:rPr>
        <w:t xml:space="preserve"> </w:t>
      </w:r>
      <w:r w:rsidR="008C54AA" w:rsidRPr="00131028">
        <w:rPr>
          <w:rFonts w:eastAsia="Times New Roman" w:cstheme="minorHAnsi"/>
        </w:rPr>
        <w:t xml:space="preserve">the much awaited and anticipated amendment in </w:t>
      </w:r>
      <w:r w:rsidR="00B6628C" w:rsidRPr="00131028">
        <w:rPr>
          <w:rFonts w:eastAsia="Times New Roman" w:cstheme="minorHAnsi"/>
        </w:rPr>
        <w:t xml:space="preserve">Deposit Rules by Companies (Acceptance of Deposits) Second Amendment Rules, 2015. </w:t>
      </w:r>
    </w:p>
    <w:p w:rsidR="00B6628C" w:rsidRPr="00131028" w:rsidRDefault="000F05A9" w:rsidP="00131028">
      <w:pPr>
        <w:spacing w:after="0"/>
        <w:jc w:val="both"/>
        <w:rPr>
          <w:rFonts w:cstheme="minorHAnsi"/>
        </w:rPr>
      </w:pPr>
      <w:r>
        <w:rPr>
          <w:rFonts w:cstheme="minorHAnsi"/>
          <w:noProof/>
        </w:rPr>
        <w:drawing>
          <wp:anchor distT="0" distB="0" distL="114300" distR="114300" simplePos="0" relativeHeight="251658240" behindDoc="0" locked="0" layoutInCell="1" allowOverlap="1">
            <wp:simplePos x="0" y="0"/>
            <wp:positionH relativeFrom="column">
              <wp:posOffset>2190115</wp:posOffset>
            </wp:positionH>
            <wp:positionV relativeFrom="paragraph">
              <wp:posOffset>1318260</wp:posOffset>
            </wp:positionV>
            <wp:extent cx="1737995" cy="1526540"/>
            <wp:effectExtent l="19050" t="0" r="0" b="0"/>
            <wp:wrapThrough wrapText="bothSides">
              <wp:wrapPolygon edited="0">
                <wp:start x="-237" y="0"/>
                <wp:lineTo x="-237" y="21295"/>
                <wp:lineTo x="21545" y="21295"/>
                <wp:lineTo x="21545" y="0"/>
                <wp:lineTo x="-237" y="0"/>
              </wp:wrapPolygon>
            </wp:wrapThrough>
            <wp:docPr id="4" name="Picture 2" descr="C:\Users\DC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S\Desktop\images.jpg"/>
                    <pic:cNvPicPr>
                      <a:picLocks noChangeAspect="1" noChangeArrowheads="1"/>
                    </pic:cNvPicPr>
                  </pic:nvPicPr>
                  <pic:blipFill>
                    <a:blip r:embed="rId6"/>
                    <a:srcRect/>
                    <a:stretch>
                      <a:fillRect/>
                    </a:stretch>
                  </pic:blipFill>
                  <pic:spPr bwMode="auto">
                    <a:xfrm>
                      <a:off x="0" y="0"/>
                      <a:ext cx="1737995" cy="1526540"/>
                    </a:xfrm>
                    <a:prstGeom prst="rect">
                      <a:avLst/>
                    </a:prstGeom>
                    <a:noFill/>
                    <a:ln w="9525">
                      <a:noFill/>
                      <a:miter lim="800000"/>
                      <a:headEnd/>
                      <a:tailEnd/>
                    </a:ln>
                  </pic:spPr>
                </pic:pic>
              </a:graphicData>
            </a:graphic>
          </wp:anchor>
        </w:drawing>
      </w:r>
      <w:r w:rsidR="00B6628C" w:rsidRPr="00131028">
        <w:rPr>
          <w:rFonts w:cstheme="minorHAnsi"/>
        </w:rPr>
        <w:t xml:space="preserve">The Ministry of Corporate Affairs has come out with relief vide its </w:t>
      </w:r>
      <w:r w:rsidR="00131028">
        <w:rPr>
          <w:rFonts w:cstheme="minorHAnsi"/>
        </w:rPr>
        <w:t>amendment</w:t>
      </w:r>
      <w:r w:rsidR="00B6628C" w:rsidRPr="00131028">
        <w:rPr>
          <w:rFonts w:cstheme="minorHAnsi"/>
        </w:rPr>
        <w:t xml:space="preserve"> dated 15.09.2015 where it has provided that from 15.09.2015 onwards, a private limited company can</w:t>
      </w:r>
      <w:r w:rsidR="00855778" w:rsidRPr="00131028">
        <w:rPr>
          <w:rFonts w:cstheme="minorHAnsi"/>
        </w:rPr>
        <w:t> </w:t>
      </w:r>
      <w:r w:rsidR="00B6628C" w:rsidRPr="00131028">
        <w:rPr>
          <w:rFonts w:cstheme="minorHAnsi"/>
        </w:rPr>
        <w:t>accept unsecured loans from a</w:t>
      </w:r>
      <w:r w:rsidR="00131028">
        <w:rPr>
          <w:rFonts w:cstheme="minorHAnsi"/>
        </w:rPr>
        <w:t xml:space="preserve"> Director or R</w:t>
      </w:r>
      <w:r w:rsidR="00B6628C" w:rsidRPr="00131028">
        <w:rPr>
          <w:rFonts w:cstheme="minorHAnsi"/>
        </w:rPr>
        <w:t>elative</w:t>
      </w:r>
      <w:r w:rsidR="00855778" w:rsidRPr="00131028">
        <w:rPr>
          <w:rFonts w:cstheme="minorHAnsi"/>
        </w:rPr>
        <w:t xml:space="preserve"> </w:t>
      </w:r>
      <w:r w:rsidR="00B6628C" w:rsidRPr="00131028">
        <w:rPr>
          <w:rFonts w:cstheme="minorHAnsi"/>
        </w:rPr>
        <w:t>(may or may not be shareholder) of Director</w:t>
      </w:r>
      <w:r w:rsidR="00131028">
        <w:rPr>
          <w:rFonts w:cstheme="minorHAnsi"/>
        </w:rPr>
        <w:t>,</w:t>
      </w:r>
      <w:r w:rsidR="00855778" w:rsidRPr="00131028">
        <w:rPr>
          <w:rFonts w:cstheme="minorHAnsi"/>
        </w:rPr>
        <w:t> </w:t>
      </w:r>
      <w:r w:rsidR="00B6628C" w:rsidRPr="00131028">
        <w:rPr>
          <w:rFonts w:cstheme="minorHAnsi"/>
        </w:rPr>
        <w:t xml:space="preserve">provided that </w:t>
      </w:r>
      <w:r w:rsidR="00131028">
        <w:rPr>
          <w:rFonts w:cstheme="minorHAnsi"/>
        </w:rPr>
        <w:t xml:space="preserve">the Director or his relative </w:t>
      </w:r>
      <w:r w:rsidR="00B6628C" w:rsidRPr="00131028">
        <w:rPr>
          <w:rFonts w:cstheme="minorHAnsi"/>
        </w:rPr>
        <w:t>from whom money is rec</w:t>
      </w:r>
      <w:r w:rsidR="00855778" w:rsidRPr="00131028">
        <w:rPr>
          <w:rFonts w:cstheme="minorHAnsi"/>
        </w:rPr>
        <w:t>eived, furnishes to the company</w:t>
      </w:r>
      <w:r w:rsidR="00B6628C" w:rsidRPr="00131028">
        <w:rPr>
          <w:rFonts w:cstheme="minorHAnsi"/>
        </w:rPr>
        <w:t xml:space="preserve">, a declaration to the effect that the amount is not out of borrowed funds, and the same shall also be disclosed in the Board’s Report. </w:t>
      </w:r>
    </w:p>
    <w:p w:rsidR="006540CE" w:rsidRPr="00131028" w:rsidRDefault="006540CE" w:rsidP="00855778">
      <w:pPr>
        <w:spacing w:after="0" w:line="240" w:lineRule="auto"/>
        <w:jc w:val="both"/>
        <w:rPr>
          <w:rFonts w:cstheme="minorHAnsi"/>
        </w:rPr>
      </w:pPr>
    </w:p>
    <w:p w:rsidR="006540CE" w:rsidRPr="00131028" w:rsidRDefault="00794EFA" w:rsidP="00855778">
      <w:pPr>
        <w:spacing w:after="0" w:line="240" w:lineRule="auto"/>
        <w:jc w:val="both"/>
        <w:rPr>
          <w:rFonts w:eastAsia="Times New Roman" w:cstheme="minorHAnsi"/>
        </w:rPr>
      </w:pPr>
      <w:r>
        <w:rPr>
          <w:rFonts w:eastAsia="Times New Roman" w:cstheme="minorHAnsi"/>
        </w:rPr>
        <w:t>To summarize</w:t>
      </w:r>
      <w:r w:rsidR="006540CE" w:rsidRPr="00131028">
        <w:rPr>
          <w:rFonts w:eastAsia="Times New Roman" w:cstheme="minorHAnsi"/>
        </w:rPr>
        <w:t>:</w:t>
      </w:r>
    </w:p>
    <w:p w:rsidR="006540CE" w:rsidRPr="00131028" w:rsidRDefault="006540CE" w:rsidP="00855778">
      <w:pPr>
        <w:spacing w:after="0" w:line="240" w:lineRule="auto"/>
        <w:jc w:val="both"/>
        <w:rPr>
          <w:rFonts w:eastAsia="Times New Roman" w:cstheme="minorHAnsi"/>
        </w:rPr>
      </w:pPr>
    </w:p>
    <w:p w:rsidR="006540CE" w:rsidRPr="00794EFA" w:rsidRDefault="006540CE" w:rsidP="00794EFA">
      <w:pPr>
        <w:pStyle w:val="ListParagraph"/>
        <w:numPr>
          <w:ilvl w:val="0"/>
          <w:numId w:val="2"/>
        </w:numPr>
        <w:spacing w:after="0" w:line="240" w:lineRule="auto"/>
        <w:jc w:val="both"/>
        <w:rPr>
          <w:rFonts w:eastAsia="Times New Roman" w:cstheme="minorHAnsi"/>
        </w:rPr>
      </w:pPr>
      <w:r w:rsidRPr="00794EFA">
        <w:rPr>
          <w:rFonts w:eastAsia="Times New Roman" w:cstheme="minorHAnsi"/>
        </w:rPr>
        <w:t xml:space="preserve">A private limited </w:t>
      </w:r>
      <w:r w:rsidR="00855778" w:rsidRPr="00794EFA">
        <w:rPr>
          <w:rFonts w:eastAsia="Times New Roman" w:cstheme="minorHAnsi"/>
        </w:rPr>
        <w:t xml:space="preserve">company </w:t>
      </w:r>
      <w:r w:rsidRPr="00794EFA">
        <w:rPr>
          <w:rFonts w:eastAsia="Times New Roman" w:cstheme="minorHAnsi"/>
        </w:rPr>
        <w:t xml:space="preserve">can accept any amount from </w:t>
      </w:r>
      <w:r w:rsidR="00131028" w:rsidRPr="00794EFA">
        <w:rPr>
          <w:rFonts w:eastAsia="Times New Roman" w:cstheme="minorHAnsi"/>
        </w:rPr>
        <w:t>Director or his R</w:t>
      </w:r>
      <w:r w:rsidRPr="00794EFA">
        <w:rPr>
          <w:rFonts w:eastAsia="Times New Roman" w:cstheme="minorHAnsi"/>
        </w:rPr>
        <w:t xml:space="preserve">elative subject to </w:t>
      </w:r>
      <w:r w:rsidR="008C54AA" w:rsidRPr="00794EFA">
        <w:rPr>
          <w:rFonts w:eastAsia="Times New Roman" w:cstheme="minorHAnsi"/>
        </w:rPr>
        <w:t>the condition</w:t>
      </w:r>
      <w:r w:rsidRPr="00794EFA">
        <w:rPr>
          <w:rFonts w:eastAsia="Times New Roman" w:cstheme="minorHAnsi"/>
        </w:rPr>
        <w:t xml:space="preserve"> that the fund lent shou</w:t>
      </w:r>
      <w:r w:rsidR="008C54AA" w:rsidRPr="00794EFA">
        <w:rPr>
          <w:rFonts w:eastAsia="Times New Roman" w:cstheme="minorHAnsi"/>
        </w:rPr>
        <w:t>ld not be out of borrowed funds</w:t>
      </w:r>
      <w:r w:rsidRPr="00794EFA">
        <w:rPr>
          <w:rFonts w:eastAsia="Times New Roman" w:cstheme="minorHAnsi"/>
        </w:rPr>
        <w:t>.</w:t>
      </w:r>
    </w:p>
    <w:p w:rsidR="006540CE" w:rsidRPr="00794EFA" w:rsidRDefault="006540CE" w:rsidP="00794EFA">
      <w:pPr>
        <w:pStyle w:val="ListParagraph"/>
        <w:numPr>
          <w:ilvl w:val="0"/>
          <w:numId w:val="2"/>
        </w:numPr>
        <w:spacing w:after="0" w:line="240" w:lineRule="auto"/>
        <w:jc w:val="both"/>
        <w:rPr>
          <w:rFonts w:eastAsia="Times New Roman" w:cstheme="minorHAnsi"/>
        </w:rPr>
      </w:pPr>
      <w:r w:rsidRPr="00794EFA">
        <w:rPr>
          <w:rFonts w:eastAsia="Times New Roman" w:cstheme="minorHAnsi"/>
        </w:rPr>
        <w:t xml:space="preserve">The </w:t>
      </w:r>
      <w:r w:rsidR="00131028" w:rsidRPr="00794EFA">
        <w:rPr>
          <w:rFonts w:eastAsia="Times New Roman" w:cstheme="minorHAnsi"/>
        </w:rPr>
        <w:t>Director or his Relative</w:t>
      </w:r>
      <w:r w:rsidRPr="00794EFA">
        <w:rPr>
          <w:rFonts w:eastAsia="Times New Roman" w:cstheme="minorHAnsi"/>
        </w:rPr>
        <w:t xml:space="preserve"> need</w:t>
      </w:r>
      <w:r w:rsidR="00131028" w:rsidRPr="00794EFA">
        <w:rPr>
          <w:rFonts w:eastAsia="Times New Roman" w:cstheme="minorHAnsi"/>
        </w:rPr>
        <w:t>s</w:t>
      </w:r>
      <w:r w:rsidRPr="00794EFA">
        <w:rPr>
          <w:rFonts w:eastAsia="Times New Roman" w:cstheme="minorHAnsi"/>
        </w:rPr>
        <w:t xml:space="preserve"> to give declaration to </w:t>
      </w:r>
      <w:r w:rsidR="00131028" w:rsidRPr="00794EFA">
        <w:rPr>
          <w:rFonts w:eastAsia="Times New Roman" w:cstheme="minorHAnsi"/>
        </w:rPr>
        <w:t>such effect</w:t>
      </w:r>
      <w:r w:rsidRPr="00794EFA">
        <w:rPr>
          <w:rFonts w:eastAsia="Times New Roman" w:cstheme="minorHAnsi"/>
        </w:rPr>
        <w:t>.</w:t>
      </w:r>
    </w:p>
    <w:p w:rsidR="006540CE" w:rsidRPr="00794EFA" w:rsidRDefault="006540CE" w:rsidP="00794EFA">
      <w:pPr>
        <w:pStyle w:val="ListParagraph"/>
        <w:numPr>
          <w:ilvl w:val="0"/>
          <w:numId w:val="2"/>
        </w:numPr>
        <w:spacing w:after="0" w:line="240" w:lineRule="auto"/>
        <w:jc w:val="both"/>
        <w:rPr>
          <w:rFonts w:eastAsia="Times New Roman" w:cstheme="minorHAnsi"/>
        </w:rPr>
      </w:pPr>
      <w:r w:rsidRPr="00794EFA">
        <w:rPr>
          <w:rFonts w:eastAsia="Times New Roman" w:cstheme="minorHAnsi"/>
        </w:rPr>
        <w:t>Board Report must also</w:t>
      </w:r>
      <w:r w:rsidR="008C54AA" w:rsidRPr="00794EFA">
        <w:rPr>
          <w:rFonts w:eastAsia="Times New Roman" w:cstheme="minorHAnsi"/>
        </w:rPr>
        <w:t xml:space="preserve"> </w:t>
      </w:r>
      <w:r w:rsidRPr="00794EFA">
        <w:rPr>
          <w:rFonts w:eastAsia="Times New Roman" w:cstheme="minorHAnsi"/>
        </w:rPr>
        <w:t>disclose the details of money so accepted by the company.</w:t>
      </w:r>
    </w:p>
    <w:p w:rsidR="006540CE" w:rsidRPr="00131028" w:rsidRDefault="006540CE" w:rsidP="00B6628C">
      <w:pPr>
        <w:spacing w:after="0" w:line="240" w:lineRule="auto"/>
        <w:rPr>
          <w:rFonts w:eastAsia="Times New Roman" w:cstheme="minorHAnsi"/>
        </w:rPr>
      </w:pPr>
    </w:p>
    <w:p w:rsidR="00B6628C" w:rsidRPr="000F05A9" w:rsidRDefault="00B6628C" w:rsidP="00B6628C">
      <w:pPr>
        <w:spacing w:after="0" w:line="240" w:lineRule="auto"/>
        <w:rPr>
          <w:rFonts w:eastAsia="Times New Roman" w:cstheme="minorHAnsi"/>
          <w:b/>
        </w:rPr>
      </w:pPr>
      <w:r w:rsidRPr="000F05A9">
        <w:rPr>
          <w:rFonts w:eastAsia="Times New Roman" w:cstheme="minorHAnsi"/>
          <w:b/>
        </w:rPr>
        <w:t>Detailed notification by the ministry is as under.</w:t>
      </w:r>
    </w:p>
    <w:p w:rsidR="00A21D84" w:rsidRPr="00131028" w:rsidRDefault="00A21D84" w:rsidP="00B6628C">
      <w:pPr>
        <w:spacing w:after="0" w:line="240" w:lineRule="auto"/>
        <w:jc w:val="center"/>
        <w:rPr>
          <w:rFonts w:eastAsia="Times New Roman" w:cstheme="minorHAnsi"/>
        </w:rPr>
      </w:pPr>
    </w:p>
    <w:p w:rsidR="00B6628C" w:rsidRPr="00131028" w:rsidRDefault="00B6628C" w:rsidP="00B6628C">
      <w:pPr>
        <w:spacing w:after="0" w:line="240" w:lineRule="auto"/>
        <w:jc w:val="center"/>
        <w:rPr>
          <w:rFonts w:eastAsia="Times New Roman" w:cstheme="minorHAnsi"/>
        </w:rPr>
      </w:pPr>
      <w:r w:rsidRPr="00131028">
        <w:rPr>
          <w:rFonts w:eastAsia="Times New Roman" w:cstheme="minorHAnsi"/>
        </w:rPr>
        <w:t>[TO BE PUBLISHED IN THE GAZETTE OF INDIA, EXTRAORDINARY, PART II, SECTION 3, SUB-SECTION (</w:t>
      </w:r>
      <w:proofErr w:type="spellStart"/>
      <w:r w:rsidRPr="00131028">
        <w:rPr>
          <w:rFonts w:eastAsia="Times New Roman" w:cstheme="minorHAnsi"/>
        </w:rPr>
        <w:t>i</w:t>
      </w:r>
      <w:proofErr w:type="spellEnd"/>
      <w:r w:rsidRPr="00131028">
        <w:rPr>
          <w:rFonts w:eastAsia="Times New Roman" w:cstheme="minorHAnsi"/>
        </w:rPr>
        <w:t>)1</w:t>
      </w:r>
    </w:p>
    <w:p w:rsidR="00B6628C" w:rsidRPr="00131028" w:rsidRDefault="00B6628C" w:rsidP="00B6628C">
      <w:pPr>
        <w:spacing w:after="0" w:line="240" w:lineRule="auto"/>
        <w:jc w:val="center"/>
        <w:rPr>
          <w:rFonts w:eastAsia="Times New Roman" w:cstheme="minorHAnsi"/>
        </w:rPr>
      </w:pPr>
      <w:r w:rsidRPr="00131028">
        <w:rPr>
          <w:rFonts w:eastAsia="Times New Roman" w:cstheme="minorHAnsi"/>
        </w:rPr>
        <w:t>Government of India</w:t>
      </w:r>
    </w:p>
    <w:p w:rsidR="00B6628C" w:rsidRPr="00131028" w:rsidRDefault="00B6628C" w:rsidP="00B6628C">
      <w:pPr>
        <w:spacing w:after="0" w:line="240" w:lineRule="auto"/>
        <w:jc w:val="center"/>
        <w:rPr>
          <w:rFonts w:eastAsia="Times New Roman" w:cstheme="minorHAnsi"/>
        </w:rPr>
      </w:pPr>
      <w:r w:rsidRPr="00131028">
        <w:rPr>
          <w:rFonts w:eastAsia="Times New Roman" w:cstheme="minorHAnsi"/>
        </w:rPr>
        <w:t>Ministry of Corporate Affairs</w:t>
      </w:r>
    </w:p>
    <w:p w:rsidR="00B6628C" w:rsidRPr="00131028" w:rsidRDefault="00B6628C" w:rsidP="00B6628C">
      <w:pPr>
        <w:spacing w:after="0" w:line="240" w:lineRule="auto"/>
        <w:jc w:val="center"/>
        <w:rPr>
          <w:rFonts w:eastAsia="Times New Roman" w:cstheme="minorHAnsi"/>
        </w:rPr>
      </w:pPr>
      <w:r w:rsidRPr="00131028">
        <w:rPr>
          <w:rFonts w:eastAsia="Times New Roman" w:cstheme="minorHAnsi"/>
        </w:rPr>
        <w:t>Notification</w:t>
      </w:r>
    </w:p>
    <w:p w:rsidR="00B6628C" w:rsidRPr="00131028" w:rsidRDefault="00B6628C" w:rsidP="00B6628C">
      <w:pPr>
        <w:spacing w:after="0" w:line="240" w:lineRule="auto"/>
        <w:jc w:val="center"/>
        <w:rPr>
          <w:rFonts w:eastAsia="Times New Roman" w:cstheme="minorHAnsi"/>
        </w:rPr>
      </w:pPr>
      <w:r w:rsidRPr="00131028">
        <w:rPr>
          <w:rFonts w:eastAsia="Times New Roman" w:cstheme="minorHAnsi"/>
        </w:rPr>
        <w:t>New Delhi, Dated- 15th September, 2015</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G.S.R.  (E). – In exercise of the powers conferred by sections 73 and 76 read with sub section (1) of section 469 of the Companies Act, 2013 (18 of 2013), the Central Government hereby makes the following rules further to amend the Companies (Acceptance of Deposits) Rules, 2014, namely:-</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lastRenderedPageBreak/>
        <w:t xml:space="preserve">1.   (1) </w:t>
      </w:r>
      <w:r w:rsidR="00910A97" w:rsidRPr="00131028">
        <w:rPr>
          <w:rFonts w:eastAsia="Times New Roman" w:cstheme="minorHAnsi"/>
        </w:rPr>
        <w:t>these</w:t>
      </w:r>
      <w:r w:rsidRPr="00131028">
        <w:rPr>
          <w:rFonts w:eastAsia="Times New Roman" w:cstheme="minorHAnsi"/>
        </w:rPr>
        <w:t xml:space="preserve"> rules may be called the Companies (Acceptance of Deposits) Second Amendment Rules, 2015.</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(2) They shall come into force on the date of their publication in the Official Gazette.</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2.       In the Companies (Acceptance of Deposits) Rules, 2014 (hereinafter referred to as said rules), in rule 2, in sub-rule (1), in clause (c), for sub-clause (viii), the following shall be substituted, namely:-</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“(viii) any amount received from a person who, at the time of the receipt of the amount, was a director of the company or a relative of the director of the private company:</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Provided that the director of the company or relative of the director of the private company, as the case may be, from whom money is received, furnishes to the company at the time of giving the money, a declaration in writing to the effect that the amount is not being given out of funds acquired by him by borrowing or accepting loans or deposits from others and the company shall disclose the details of money so accepted in the Board’s report;”.</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3. In the said rules, in rule 3, –</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(a)    for the words “paid-up share capital and free reserves”, wherever they occur, the words “paid-up share capital, free reserves and securities premium account” shall be substituted;</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(b)    in sub-rule (8), in the Table, for item (c) and entries relating thereto the following shall be substituted, namely:-</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“(e) Brickwork Ratings India Pvt Ltd (Brickwork) BWR FBBB”.</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[File No 1/8/2013-CL-V]</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 </w:t>
      </w:r>
    </w:p>
    <w:p w:rsidR="00B6628C" w:rsidRPr="00131028" w:rsidRDefault="008C54AA" w:rsidP="00855778">
      <w:pPr>
        <w:spacing w:after="0" w:line="240" w:lineRule="auto"/>
        <w:jc w:val="both"/>
        <w:rPr>
          <w:rFonts w:eastAsia="Times New Roman" w:cstheme="minorHAnsi"/>
        </w:rPr>
      </w:pPr>
      <w:proofErr w:type="spellStart"/>
      <w:r w:rsidRPr="00131028">
        <w:rPr>
          <w:rFonts w:eastAsia="Times New Roman" w:cstheme="minorHAnsi"/>
        </w:rPr>
        <w:t>Amardeep</w:t>
      </w:r>
      <w:proofErr w:type="spellEnd"/>
      <w:r w:rsidRPr="00131028">
        <w:rPr>
          <w:rFonts w:eastAsia="Times New Roman" w:cstheme="minorHAnsi"/>
        </w:rPr>
        <w:t xml:space="preserve"> Singh Bhatia, </w:t>
      </w:r>
      <w:r w:rsidR="00B6628C" w:rsidRPr="00131028">
        <w:rPr>
          <w:rFonts w:eastAsia="Times New Roman" w:cstheme="minorHAnsi"/>
        </w:rPr>
        <w:t>Joint Secretary</w:t>
      </w:r>
    </w:p>
    <w:p w:rsidR="00B6628C" w:rsidRPr="00131028" w:rsidRDefault="00B6628C" w:rsidP="00855778">
      <w:pPr>
        <w:spacing w:after="0" w:line="240" w:lineRule="auto"/>
        <w:jc w:val="both"/>
        <w:rPr>
          <w:rFonts w:eastAsia="Times New Roman" w:cstheme="minorHAnsi"/>
        </w:rPr>
      </w:pPr>
      <w:r w:rsidRPr="00131028">
        <w:rPr>
          <w:rFonts w:eastAsia="Times New Roman" w:cstheme="minorHAnsi"/>
        </w:rPr>
        <w:t>Note. – The principal rules were published in the Gazette of India, Extraordinary, Part II, Section 3, sub-section (</w:t>
      </w:r>
      <w:proofErr w:type="spellStart"/>
      <w:r w:rsidRPr="00131028">
        <w:rPr>
          <w:rFonts w:eastAsia="Times New Roman" w:cstheme="minorHAnsi"/>
        </w:rPr>
        <w:t>i</w:t>
      </w:r>
      <w:proofErr w:type="spellEnd"/>
      <w:r w:rsidRPr="00131028">
        <w:rPr>
          <w:rFonts w:eastAsia="Times New Roman" w:cstheme="minorHAnsi"/>
        </w:rPr>
        <w:t>) ride number G.S.R. 256(E), dated the 31st March, 2014 and were subsequently modified vide number G.S.R. 386(E), dated the 6th, June, 2014 and G.S.R. 241(E), dated the 31st March, 2015.</w:t>
      </w:r>
    </w:p>
    <w:p w:rsidR="00B6628C" w:rsidRPr="00131028" w:rsidRDefault="00B6628C" w:rsidP="00855778">
      <w:pPr>
        <w:jc w:val="both"/>
        <w:rPr>
          <w:rFonts w:cstheme="minorHAnsi"/>
        </w:rPr>
      </w:pPr>
    </w:p>
    <w:p w:rsidR="00131028" w:rsidRDefault="00E4437F" w:rsidP="00131028">
      <w:pPr>
        <w:tabs>
          <w:tab w:val="left" w:pos="6361"/>
        </w:tabs>
        <w:spacing w:after="0"/>
        <w:jc w:val="both"/>
      </w:pPr>
      <w:r>
        <w:t xml:space="preserve">You can get in touch with us for all your queries and concerns in relation to above at </w:t>
      </w:r>
      <w:hyperlink r:id="rId7" w:history="1">
        <w:r>
          <w:rPr>
            <w:rStyle w:val="Hyperlink"/>
          </w:rPr>
          <w:t>info@dcstax.in</w:t>
        </w:r>
      </w:hyperlink>
      <w:r>
        <w:t xml:space="preserve"> or visit us at </w:t>
      </w:r>
      <w:hyperlink r:id="rId8" w:history="1">
        <w:r w:rsidRPr="001B5043">
          <w:rPr>
            <w:rStyle w:val="Hyperlink"/>
          </w:rPr>
          <w:t>www.dcstax.in</w:t>
        </w:r>
      </w:hyperlink>
    </w:p>
    <w:p w:rsidR="00E4437F" w:rsidRDefault="00E4437F" w:rsidP="00131028">
      <w:pPr>
        <w:tabs>
          <w:tab w:val="left" w:pos="6361"/>
        </w:tabs>
        <w:spacing w:after="0"/>
        <w:jc w:val="both"/>
      </w:pPr>
    </w:p>
    <w:p w:rsidR="00131028" w:rsidRDefault="00131028" w:rsidP="00131028">
      <w:pPr>
        <w:tabs>
          <w:tab w:val="left" w:pos="6361"/>
        </w:tabs>
        <w:spacing w:after="0"/>
        <w:jc w:val="both"/>
      </w:pPr>
      <w:r>
        <w:rPr>
          <w:rFonts w:ascii="Arial" w:eastAsia="Times New Roman" w:hAnsi="Arial" w:cs="Arial"/>
          <w:noProof/>
          <w:color w:val="222222"/>
          <w:sz w:val="16"/>
          <w:szCs w:val="16"/>
        </w:rPr>
        <w:drawing>
          <wp:inline distT="0" distB="0" distL="0" distR="0">
            <wp:extent cx="1199056" cy="826935"/>
            <wp:effectExtent l="19050" t="0" r="1094"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stretch>
                      <a:fillRect/>
                    </a:stretch>
                  </pic:blipFill>
                  <pic:spPr>
                    <a:xfrm>
                      <a:off x="0" y="0"/>
                      <a:ext cx="1198338" cy="826440"/>
                    </a:xfrm>
                    <a:prstGeom prst="rect">
                      <a:avLst/>
                    </a:prstGeom>
                  </pic:spPr>
                </pic:pic>
              </a:graphicData>
            </a:graphic>
          </wp:inline>
        </w:drawing>
      </w:r>
    </w:p>
    <w:p w:rsidR="00131028" w:rsidRDefault="00131028" w:rsidP="00131028">
      <w:pPr>
        <w:tabs>
          <w:tab w:val="left" w:pos="6361"/>
        </w:tabs>
        <w:spacing w:after="0"/>
        <w:jc w:val="both"/>
      </w:pPr>
      <w:r w:rsidRPr="00C91E38">
        <w:rPr>
          <w:rFonts w:ascii="Arial Black" w:eastAsia="Times New Roman" w:hAnsi="Arial Black" w:cs="Calibri"/>
          <w:b/>
          <w:bCs/>
          <w:color w:val="00B0F0"/>
          <w:sz w:val="24"/>
          <w:szCs w:val="24"/>
        </w:rPr>
        <w:t>Dudhoria Consultancy Services Pvt. Ltd.</w:t>
      </w:r>
    </w:p>
    <w:p w:rsidR="00131028" w:rsidRPr="00C91E38" w:rsidRDefault="00131028" w:rsidP="00131028">
      <w:pPr>
        <w:shd w:val="clear" w:color="auto" w:fill="FFFFFF"/>
        <w:spacing w:after="0"/>
        <w:rPr>
          <w:rFonts w:ascii="Arial Black" w:eastAsia="Times New Roman" w:hAnsi="Arial Black" w:cs="Calibri"/>
          <w:color w:val="00B0F0"/>
          <w:sz w:val="15"/>
          <w:szCs w:val="15"/>
        </w:rPr>
      </w:pPr>
      <w:r w:rsidRPr="00C91E38">
        <w:rPr>
          <w:rFonts w:ascii="Arial Black" w:eastAsia="Times New Roman" w:hAnsi="Arial Black" w:cs="Calibri"/>
          <w:color w:val="00B0F0"/>
          <w:sz w:val="15"/>
          <w:szCs w:val="15"/>
        </w:rPr>
        <w:t>56, Netaji Subhas Road, 4th Floor, Kolkata – 700001</w:t>
      </w:r>
    </w:p>
    <w:p w:rsidR="00131028" w:rsidRPr="005314DA" w:rsidRDefault="00131028" w:rsidP="00131028">
      <w:pPr>
        <w:spacing w:after="0"/>
      </w:pPr>
      <w:r w:rsidRPr="00C91E38">
        <w:rPr>
          <w:rFonts w:ascii="Arial Black" w:eastAsia="Times New Roman" w:hAnsi="Arial Black" w:cs="Calibri"/>
          <w:color w:val="00B0F0"/>
          <w:sz w:val="15"/>
          <w:szCs w:val="15"/>
        </w:rPr>
        <w:t xml:space="preserve">E-mail us @ </w:t>
      </w:r>
      <w:hyperlink r:id="rId10" w:history="1">
        <w:r w:rsidRPr="00C91E38">
          <w:rPr>
            <w:rStyle w:val="Hyperlink"/>
            <w:rFonts w:ascii="Arial Black" w:eastAsia="Times New Roman" w:hAnsi="Arial Black" w:cs="Calibri"/>
            <w:color w:val="00B0F0"/>
            <w:sz w:val="15"/>
            <w:szCs w:val="15"/>
          </w:rPr>
          <w:t>info@dcstax.in</w:t>
        </w:r>
      </w:hyperlink>
      <w:r w:rsidRPr="00C91E38">
        <w:rPr>
          <w:rFonts w:ascii="Arial Black" w:eastAsia="Times New Roman" w:hAnsi="Arial Black" w:cs="Calibri"/>
          <w:color w:val="00B0F0"/>
          <w:sz w:val="15"/>
          <w:szCs w:val="15"/>
        </w:rPr>
        <w:t xml:space="preserve"> / </w:t>
      </w:r>
      <w:hyperlink r:id="rId11" w:history="1">
        <w:r w:rsidRPr="00C91E38">
          <w:rPr>
            <w:rStyle w:val="Hyperlink"/>
            <w:rFonts w:ascii="Arial Black" w:eastAsia="Times New Roman" w:hAnsi="Arial Black" w:cs="Calibri"/>
            <w:color w:val="00B0F0"/>
            <w:sz w:val="15"/>
            <w:szCs w:val="15"/>
          </w:rPr>
          <w:t>taxdcs@gmail.com</w:t>
        </w:r>
      </w:hyperlink>
    </w:p>
    <w:p w:rsidR="00A21D84" w:rsidRPr="00131028" w:rsidRDefault="00A21D84" w:rsidP="00131028">
      <w:pPr>
        <w:jc w:val="both"/>
        <w:rPr>
          <w:rFonts w:cstheme="minorHAnsi"/>
        </w:rPr>
      </w:pPr>
    </w:p>
    <w:sectPr w:rsidR="00A21D84" w:rsidRPr="00131028" w:rsidSect="007571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1E40"/>
    <w:multiLevelType w:val="hybridMultilevel"/>
    <w:tmpl w:val="83945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4B4C4A"/>
    <w:multiLevelType w:val="hybridMultilevel"/>
    <w:tmpl w:val="E850D3E2"/>
    <w:lvl w:ilvl="0" w:tplc="38CAED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B6628C"/>
    <w:rsid w:val="000B5D18"/>
    <w:rsid w:val="000F05A9"/>
    <w:rsid w:val="00131028"/>
    <w:rsid w:val="001A542A"/>
    <w:rsid w:val="00314465"/>
    <w:rsid w:val="005035F7"/>
    <w:rsid w:val="005E1131"/>
    <w:rsid w:val="00610DB8"/>
    <w:rsid w:val="00633EB9"/>
    <w:rsid w:val="006540CE"/>
    <w:rsid w:val="00757199"/>
    <w:rsid w:val="00794EFA"/>
    <w:rsid w:val="00844E0E"/>
    <w:rsid w:val="00855778"/>
    <w:rsid w:val="008C54AA"/>
    <w:rsid w:val="00910A97"/>
    <w:rsid w:val="00A21D84"/>
    <w:rsid w:val="00A923CB"/>
    <w:rsid w:val="00B26FCC"/>
    <w:rsid w:val="00B6628C"/>
    <w:rsid w:val="00BF7638"/>
    <w:rsid w:val="00E44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2464407235">
    <w:name w:val="yiv2464407235"/>
    <w:basedOn w:val="DefaultParagraphFont"/>
    <w:rsid w:val="00B6628C"/>
  </w:style>
  <w:style w:type="character" w:customStyle="1" w:styleId="il">
    <w:name w:val="il"/>
    <w:basedOn w:val="DefaultParagraphFont"/>
    <w:rsid w:val="006540CE"/>
  </w:style>
  <w:style w:type="character" w:styleId="Hyperlink">
    <w:name w:val="Hyperlink"/>
    <w:basedOn w:val="DefaultParagraphFont"/>
    <w:uiPriority w:val="99"/>
    <w:unhideWhenUsed/>
    <w:rsid w:val="00131028"/>
    <w:rPr>
      <w:color w:val="0000FF" w:themeColor="hyperlink"/>
      <w:u w:val="single"/>
    </w:rPr>
  </w:style>
  <w:style w:type="paragraph" w:styleId="BalloonText">
    <w:name w:val="Balloon Text"/>
    <w:basedOn w:val="Normal"/>
    <w:link w:val="BalloonTextChar"/>
    <w:uiPriority w:val="99"/>
    <w:semiHidden/>
    <w:unhideWhenUsed/>
    <w:rsid w:val="00131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028"/>
    <w:rPr>
      <w:rFonts w:ascii="Tahoma" w:hAnsi="Tahoma" w:cs="Tahoma"/>
      <w:sz w:val="16"/>
      <w:szCs w:val="16"/>
    </w:rPr>
  </w:style>
  <w:style w:type="paragraph" w:styleId="ListParagraph">
    <w:name w:val="List Paragraph"/>
    <w:basedOn w:val="Normal"/>
    <w:uiPriority w:val="34"/>
    <w:qFormat/>
    <w:rsid w:val="00794EFA"/>
    <w:pPr>
      <w:ind w:left="720"/>
      <w:contextualSpacing/>
    </w:pPr>
  </w:style>
</w:styles>
</file>

<file path=word/webSettings.xml><?xml version="1.0" encoding="utf-8"?>
<w:webSettings xmlns:r="http://schemas.openxmlformats.org/officeDocument/2006/relationships" xmlns:w="http://schemas.openxmlformats.org/wordprocessingml/2006/main">
  <w:divs>
    <w:div w:id="525870293">
      <w:bodyDiv w:val="1"/>
      <w:marLeft w:val="0"/>
      <w:marRight w:val="0"/>
      <w:marTop w:val="0"/>
      <w:marBottom w:val="0"/>
      <w:divBdr>
        <w:top w:val="none" w:sz="0" w:space="0" w:color="auto"/>
        <w:left w:val="none" w:sz="0" w:space="0" w:color="auto"/>
        <w:bottom w:val="none" w:sz="0" w:space="0" w:color="auto"/>
        <w:right w:val="none" w:sz="0" w:space="0" w:color="auto"/>
      </w:divBdr>
      <w:divsChild>
        <w:div w:id="1929844485">
          <w:marLeft w:val="0"/>
          <w:marRight w:val="0"/>
          <w:marTop w:val="0"/>
          <w:marBottom w:val="0"/>
          <w:divBdr>
            <w:top w:val="none" w:sz="0" w:space="0" w:color="auto"/>
            <w:left w:val="none" w:sz="0" w:space="0" w:color="auto"/>
            <w:bottom w:val="none" w:sz="0" w:space="0" w:color="auto"/>
            <w:right w:val="none" w:sz="0" w:space="0" w:color="auto"/>
          </w:divBdr>
        </w:div>
        <w:div w:id="781221120">
          <w:marLeft w:val="0"/>
          <w:marRight w:val="0"/>
          <w:marTop w:val="0"/>
          <w:marBottom w:val="0"/>
          <w:divBdr>
            <w:top w:val="none" w:sz="0" w:space="0" w:color="auto"/>
            <w:left w:val="none" w:sz="0" w:space="0" w:color="auto"/>
            <w:bottom w:val="none" w:sz="0" w:space="0" w:color="auto"/>
            <w:right w:val="none" w:sz="0" w:space="0" w:color="auto"/>
          </w:divBdr>
        </w:div>
        <w:div w:id="493107046">
          <w:marLeft w:val="0"/>
          <w:marRight w:val="0"/>
          <w:marTop w:val="0"/>
          <w:marBottom w:val="0"/>
          <w:divBdr>
            <w:top w:val="none" w:sz="0" w:space="0" w:color="auto"/>
            <w:left w:val="none" w:sz="0" w:space="0" w:color="auto"/>
            <w:bottom w:val="none" w:sz="0" w:space="0" w:color="auto"/>
            <w:right w:val="none" w:sz="0" w:space="0" w:color="auto"/>
          </w:divBdr>
        </w:div>
        <w:div w:id="1785926847">
          <w:marLeft w:val="0"/>
          <w:marRight w:val="0"/>
          <w:marTop w:val="0"/>
          <w:marBottom w:val="0"/>
          <w:divBdr>
            <w:top w:val="none" w:sz="0" w:space="0" w:color="auto"/>
            <w:left w:val="none" w:sz="0" w:space="0" w:color="auto"/>
            <w:bottom w:val="none" w:sz="0" w:space="0" w:color="auto"/>
            <w:right w:val="none" w:sz="0" w:space="0" w:color="auto"/>
          </w:divBdr>
        </w:div>
        <w:div w:id="2122332291">
          <w:marLeft w:val="0"/>
          <w:marRight w:val="0"/>
          <w:marTop w:val="0"/>
          <w:marBottom w:val="0"/>
          <w:divBdr>
            <w:top w:val="none" w:sz="0" w:space="0" w:color="auto"/>
            <w:left w:val="none" w:sz="0" w:space="0" w:color="auto"/>
            <w:bottom w:val="none" w:sz="0" w:space="0" w:color="auto"/>
            <w:right w:val="none" w:sz="0" w:space="0" w:color="auto"/>
          </w:divBdr>
        </w:div>
      </w:divsChild>
    </w:div>
    <w:div w:id="1372877828">
      <w:bodyDiv w:val="1"/>
      <w:marLeft w:val="0"/>
      <w:marRight w:val="0"/>
      <w:marTop w:val="0"/>
      <w:marBottom w:val="0"/>
      <w:divBdr>
        <w:top w:val="none" w:sz="0" w:space="0" w:color="auto"/>
        <w:left w:val="none" w:sz="0" w:space="0" w:color="auto"/>
        <w:bottom w:val="none" w:sz="0" w:space="0" w:color="auto"/>
        <w:right w:val="none" w:sz="0" w:space="0" w:color="auto"/>
      </w:divBdr>
      <w:divsChild>
        <w:div w:id="706101019">
          <w:marLeft w:val="0"/>
          <w:marRight w:val="0"/>
          <w:marTop w:val="0"/>
          <w:marBottom w:val="0"/>
          <w:divBdr>
            <w:top w:val="none" w:sz="0" w:space="0" w:color="auto"/>
            <w:left w:val="none" w:sz="0" w:space="0" w:color="auto"/>
            <w:bottom w:val="none" w:sz="0" w:space="0" w:color="auto"/>
            <w:right w:val="none" w:sz="0" w:space="0" w:color="auto"/>
          </w:divBdr>
        </w:div>
        <w:div w:id="466364331">
          <w:marLeft w:val="0"/>
          <w:marRight w:val="0"/>
          <w:marTop w:val="0"/>
          <w:marBottom w:val="0"/>
          <w:divBdr>
            <w:top w:val="none" w:sz="0" w:space="0" w:color="auto"/>
            <w:left w:val="none" w:sz="0" w:space="0" w:color="auto"/>
            <w:bottom w:val="none" w:sz="0" w:space="0" w:color="auto"/>
            <w:right w:val="none" w:sz="0" w:space="0" w:color="auto"/>
          </w:divBdr>
        </w:div>
        <w:div w:id="1881359463">
          <w:marLeft w:val="0"/>
          <w:marRight w:val="0"/>
          <w:marTop w:val="0"/>
          <w:marBottom w:val="0"/>
          <w:divBdr>
            <w:top w:val="none" w:sz="0" w:space="0" w:color="auto"/>
            <w:left w:val="none" w:sz="0" w:space="0" w:color="auto"/>
            <w:bottom w:val="none" w:sz="0" w:space="0" w:color="auto"/>
            <w:right w:val="none" w:sz="0" w:space="0" w:color="auto"/>
          </w:divBdr>
        </w:div>
        <w:div w:id="1103184598">
          <w:marLeft w:val="0"/>
          <w:marRight w:val="0"/>
          <w:marTop w:val="0"/>
          <w:marBottom w:val="0"/>
          <w:divBdr>
            <w:top w:val="none" w:sz="0" w:space="0" w:color="auto"/>
            <w:left w:val="none" w:sz="0" w:space="0" w:color="auto"/>
            <w:bottom w:val="none" w:sz="0" w:space="0" w:color="auto"/>
            <w:right w:val="none" w:sz="0" w:space="0" w:color="auto"/>
          </w:divBdr>
        </w:div>
        <w:div w:id="921642626">
          <w:marLeft w:val="0"/>
          <w:marRight w:val="0"/>
          <w:marTop w:val="0"/>
          <w:marBottom w:val="0"/>
          <w:divBdr>
            <w:top w:val="none" w:sz="0" w:space="0" w:color="auto"/>
            <w:left w:val="none" w:sz="0" w:space="0" w:color="auto"/>
            <w:bottom w:val="none" w:sz="0" w:space="0" w:color="auto"/>
            <w:right w:val="none" w:sz="0" w:space="0" w:color="auto"/>
          </w:divBdr>
        </w:div>
        <w:div w:id="1690060874">
          <w:marLeft w:val="0"/>
          <w:marRight w:val="0"/>
          <w:marTop w:val="0"/>
          <w:marBottom w:val="0"/>
          <w:divBdr>
            <w:top w:val="none" w:sz="0" w:space="0" w:color="auto"/>
            <w:left w:val="none" w:sz="0" w:space="0" w:color="auto"/>
            <w:bottom w:val="none" w:sz="0" w:space="0" w:color="auto"/>
            <w:right w:val="none" w:sz="0" w:space="0" w:color="auto"/>
          </w:divBdr>
        </w:div>
        <w:div w:id="1444109206">
          <w:marLeft w:val="0"/>
          <w:marRight w:val="0"/>
          <w:marTop w:val="0"/>
          <w:marBottom w:val="0"/>
          <w:divBdr>
            <w:top w:val="none" w:sz="0" w:space="0" w:color="auto"/>
            <w:left w:val="none" w:sz="0" w:space="0" w:color="auto"/>
            <w:bottom w:val="none" w:sz="0" w:space="0" w:color="auto"/>
            <w:right w:val="none" w:sz="0" w:space="0" w:color="auto"/>
          </w:divBdr>
        </w:div>
        <w:div w:id="627973305">
          <w:marLeft w:val="0"/>
          <w:marRight w:val="0"/>
          <w:marTop w:val="0"/>
          <w:marBottom w:val="0"/>
          <w:divBdr>
            <w:top w:val="none" w:sz="0" w:space="0" w:color="auto"/>
            <w:left w:val="none" w:sz="0" w:space="0" w:color="auto"/>
            <w:bottom w:val="none" w:sz="0" w:space="0" w:color="auto"/>
            <w:right w:val="none" w:sz="0" w:space="0" w:color="auto"/>
          </w:divBdr>
        </w:div>
        <w:div w:id="1913734885">
          <w:marLeft w:val="0"/>
          <w:marRight w:val="0"/>
          <w:marTop w:val="0"/>
          <w:marBottom w:val="0"/>
          <w:divBdr>
            <w:top w:val="none" w:sz="0" w:space="0" w:color="auto"/>
            <w:left w:val="none" w:sz="0" w:space="0" w:color="auto"/>
            <w:bottom w:val="none" w:sz="0" w:space="0" w:color="auto"/>
            <w:right w:val="none" w:sz="0" w:space="0" w:color="auto"/>
          </w:divBdr>
        </w:div>
        <w:div w:id="1667972230">
          <w:marLeft w:val="0"/>
          <w:marRight w:val="0"/>
          <w:marTop w:val="0"/>
          <w:marBottom w:val="0"/>
          <w:divBdr>
            <w:top w:val="none" w:sz="0" w:space="0" w:color="auto"/>
            <w:left w:val="none" w:sz="0" w:space="0" w:color="auto"/>
            <w:bottom w:val="none" w:sz="0" w:space="0" w:color="auto"/>
            <w:right w:val="none" w:sz="0" w:space="0" w:color="auto"/>
          </w:divBdr>
        </w:div>
        <w:div w:id="1907260323">
          <w:marLeft w:val="0"/>
          <w:marRight w:val="0"/>
          <w:marTop w:val="0"/>
          <w:marBottom w:val="0"/>
          <w:divBdr>
            <w:top w:val="none" w:sz="0" w:space="0" w:color="auto"/>
            <w:left w:val="none" w:sz="0" w:space="0" w:color="auto"/>
            <w:bottom w:val="none" w:sz="0" w:space="0" w:color="auto"/>
            <w:right w:val="none" w:sz="0" w:space="0" w:color="auto"/>
          </w:divBdr>
        </w:div>
        <w:div w:id="1218393513">
          <w:marLeft w:val="0"/>
          <w:marRight w:val="0"/>
          <w:marTop w:val="0"/>
          <w:marBottom w:val="0"/>
          <w:divBdr>
            <w:top w:val="none" w:sz="0" w:space="0" w:color="auto"/>
            <w:left w:val="none" w:sz="0" w:space="0" w:color="auto"/>
            <w:bottom w:val="none" w:sz="0" w:space="0" w:color="auto"/>
            <w:right w:val="none" w:sz="0" w:space="0" w:color="auto"/>
          </w:divBdr>
        </w:div>
        <w:div w:id="878399591">
          <w:marLeft w:val="0"/>
          <w:marRight w:val="0"/>
          <w:marTop w:val="0"/>
          <w:marBottom w:val="0"/>
          <w:divBdr>
            <w:top w:val="none" w:sz="0" w:space="0" w:color="auto"/>
            <w:left w:val="none" w:sz="0" w:space="0" w:color="auto"/>
            <w:bottom w:val="none" w:sz="0" w:space="0" w:color="auto"/>
            <w:right w:val="none" w:sz="0" w:space="0" w:color="auto"/>
          </w:divBdr>
        </w:div>
        <w:div w:id="81664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stax.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cstax.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axdcs@gmail.com" TargetMode="External"/><Relationship Id="rId5" Type="http://schemas.openxmlformats.org/officeDocument/2006/relationships/image" Target="media/image1.jpeg"/><Relationship Id="rId10" Type="http://schemas.openxmlformats.org/officeDocument/2006/relationships/hyperlink" Target="mailto:info@dcstax.in"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Sambhav</cp:lastModifiedBy>
  <cp:revision>12</cp:revision>
  <dcterms:created xsi:type="dcterms:W3CDTF">2015-10-06T10:01:00Z</dcterms:created>
  <dcterms:modified xsi:type="dcterms:W3CDTF">2015-11-16T08:54:00Z</dcterms:modified>
</cp:coreProperties>
</file>